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23E" w:rsidRDefault="00AD2955">
      <w:pPr>
        <w:rPr>
          <w:rFonts w:ascii="Arial" w:eastAsia="Arial" w:hAnsi="Arial" w:cs="Arial"/>
          <w:b/>
          <w:sz w:val="36"/>
          <w:szCs w:val="36"/>
        </w:rPr>
      </w:pPr>
      <w:r>
        <w:rPr>
          <w:rFonts w:ascii="Arial" w:eastAsia="Arial" w:hAnsi="Arial" w:cs="Arial"/>
          <w:b/>
          <w:sz w:val="36"/>
          <w:szCs w:val="36"/>
        </w:rPr>
        <w:t>Framework Schedule 3 (Framework Prices)</w:t>
      </w:r>
    </w:p>
    <w:p w:rsidR="001A723E" w:rsidRDefault="00AD2955">
      <w:pPr>
        <w:numPr>
          <w:ilvl w:val="0"/>
          <w:numId w:val="1"/>
        </w:numPr>
        <w:pBdr>
          <w:top w:val="nil"/>
          <w:left w:val="nil"/>
          <w:bottom w:val="nil"/>
          <w:right w:val="nil"/>
          <w:between w:val="nil"/>
        </w:pBdr>
        <w:tabs>
          <w:tab w:val="left" w:pos="142"/>
        </w:tabs>
        <w:spacing w:before="120" w:after="240" w:line="240" w:lineRule="auto"/>
        <w:jc w:val="both"/>
      </w:pPr>
      <w:bookmarkStart w:id="0" w:name="_heading=h.gjdgxs" w:colFirst="0" w:colLast="0"/>
      <w:bookmarkEnd w:id="0"/>
      <w:r>
        <w:rPr>
          <w:rFonts w:ascii="Arial" w:eastAsia="Arial" w:hAnsi="Arial" w:cs="Arial"/>
          <w:b/>
          <w:color w:val="000000"/>
          <w:sz w:val="24"/>
          <w:szCs w:val="24"/>
        </w:rPr>
        <w:t>How Framework Prices are used to calculate Call-Off Charges</w:t>
      </w:r>
    </w:p>
    <w:p w:rsidR="001A723E" w:rsidRDefault="00AD295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p>
    <w:p w:rsidR="001A723E" w:rsidRDefault="00AD2955">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under each Call Off Contract; and</w:t>
      </w:r>
    </w:p>
    <w:p w:rsidR="001A723E" w:rsidRDefault="00AD295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in accordance with this Schedule.</w:t>
      </w:r>
    </w:p>
    <w:p w:rsidR="001A723E" w:rsidRDefault="00AD295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rsidR="001A723E" w:rsidRDefault="00AD295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rsidR="001A723E" w:rsidRDefault="00AD295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specifically permitted by the Call Off Contract and in particular shall only be subject to Indexation where specifically stated in the Order Form; and</w:t>
      </w:r>
    </w:p>
    <w:p w:rsidR="001A723E" w:rsidRDefault="00AD295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not be impacted by any change to the Framework Prices. </w:t>
      </w:r>
    </w:p>
    <w:p w:rsidR="001A723E" w:rsidRDefault="00AD295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Any variation to the Charges payable under a Call Off Contract must be agreed between the Supplier and the Buyer and implemented using the same procedure for altering Framework Prices in accordance with the provisions of this Framework Schedule 3</w:t>
      </w:r>
      <w:r>
        <w:rPr>
          <w:rFonts w:ascii="Arial" w:eastAsia="Arial" w:hAnsi="Arial" w:cs="Arial"/>
          <w:sz w:val="24"/>
          <w:szCs w:val="24"/>
        </w:rPr>
        <w:t>.</w:t>
      </w:r>
    </w:p>
    <w:p w:rsidR="001A723E" w:rsidRDefault="00AD2955">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rsidR="001A723E" w:rsidRDefault="00AD295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pricing mechanisms and prices set out in Annex 1 shall be available for use in calculation of Framework Prices in Call Off Contracts.</w:t>
      </w:r>
    </w:p>
    <w:p w:rsidR="001A723E" w:rsidRDefault="00AD2955">
      <w:pPr>
        <w:numPr>
          <w:ilvl w:val="0"/>
          <w:numId w:val="1"/>
        </w:numPr>
        <w:pBdr>
          <w:top w:val="nil"/>
          <w:left w:val="nil"/>
          <w:bottom w:val="nil"/>
          <w:right w:val="nil"/>
          <w:between w:val="nil"/>
        </w:pBdr>
        <w:tabs>
          <w:tab w:val="left" w:pos="142"/>
        </w:tabs>
        <w:spacing w:before="120" w:after="240" w:line="240" w:lineRule="auto"/>
        <w:jc w:val="both"/>
      </w:pPr>
      <w:bookmarkStart w:id="2" w:name="bookmark=id.3znysh7" w:colFirst="0" w:colLast="0"/>
      <w:bookmarkStart w:id="3" w:name="_heading=h.1fob9te" w:colFirst="0" w:colLast="0"/>
      <w:bookmarkEnd w:id="2"/>
      <w:bookmarkEnd w:id="3"/>
      <w:r>
        <w:rPr>
          <w:rFonts w:ascii="Arial" w:eastAsia="Arial" w:hAnsi="Arial" w:cs="Arial"/>
          <w:b/>
          <w:color w:val="000000"/>
          <w:sz w:val="24"/>
          <w:szCs w:val="24"/>
        </w:rPr>
        <w:t>Are costs and expenses are included in the Framework Prices</w:t>
      </w:r>
    </w:p>
    <w:p w:rsidR="001A723E" w:rsidRDefault="00AD295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Except as expressly set out in Paragraph 4 below, or otherwise stated in a Call Off Order Form the Framework Prices shall include all costs and expenses relating to the provision of Deliverables. No further amounts shall be payable in respect of matters such as:</w:t>
      </w:r>
    </w:p>
    <w:p w:rsidR="001A723E" w:rsidRDefault="00AD2955">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incidental expenses such as travel, subsistence and lodging, document or report reproduction, shipping, desktop or office equipment costs, network or data interchange costs or other telecommunications charges; or</w:t>
      </w:r>
    </w:p>
    <w:p w:rsidR="001A723E" w:rsidRDefault="00AD2955">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costs incurred prior to the commencement of any Call Off Contract.</w:t>
      </w:r>
    </w:p>
    <w:p w:rsidR="001A723E" w:rsidRDefault="00AD2955">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rsidR="001A723E" w:rsidRDefault="00AD295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will be fixed for the first </w:t>
      </w:r>
      <w:r>
        <w:rPr>
          <w:rFonts w:ascii="Arial" w:eastAsia="Arial" w:hAnsi="Arial" w:cs="Arial"/>
          <w:sz w:val="24"/>
          <w:szCs w:val="24"/>
        </w:rPr>
        <w:t>2</w:t>
      </w:r>
      <w:r>
        <w:rPr>
          <w:rFonts w:ascii="Arial" w:eastAsia="Arial" w:hAnsi="Arial" w:cs="Arial"/>
          <w:color w:val="000000"/>
          <w:sz w:val="24"/>
          <w:szCs w:val="24"/>
        </w:rPr>
        <w:t xml:space="preserve"> years following the Framework Contract Commencement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Framework Prices can 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rsidR="001A723E" w:rsidRDefault="00AD295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lastRenderedPageBreak/>
        <w:t>The Supplier shall give CCS at least three (3) Months' notice in writing prior to a Review Date where it wants to request an increase.  If the Supplier does not give notice in time then it will only be able to request an increase prior to the next Review Date.</w:t>
      </w:r>
    </w:p>
    <w:p w:rsidR="001A723E" w:rsidRDefault="00AD295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rsidR="001A723E" w:rsidRDefault="00AD295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list of the Framework Prices to be reviewed;</w:t>
      </w:r>
    </w:p>
    <w:p w:rsidR="001A723E" w:rsidRDefault="00AD295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for each Framework Price under review, written evidence of the justification for the requested increase including:</w:t>
      </w:r>
    </w:p>
    <w:p w:rsidR="001A723E" w:rsidRDefault="00AD2955">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 xml:space="preserve">a breakdown of the profit and cost components that comprise the relevant Framework Price; </w:t>
      </w:r>
    </w:p>
    <w:p w:rsidR="001A723E" w:rsidRDefault="00AD2955">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sz w:val="24"/>
          <w:szCs w:val="24"/>
        </w:rPr>
        <w:t>d</w:t>
      </w:r>
      <w:r>
        <w:rPr>
          <w:rFonts w:ascii="Arial" w:eastAsia="Arial" w:hAnsi="Arial" w:cs="Arial"/>
          <w:color w:val="000000"/>
          <w:sz w:val="24"/>
          <w:szCs w:val="24"/>
        </w:rPr>
        <w:t>etails of the movement in the different identified cost components of the relevant Framework Price;</w:t>
      </w:r>
    </w:p>
    <w:p w:rsidR="001A723E" w:rsidRDefault="00AD2955">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reasons for the movement in the different identified cost components of the relevant Framework Price;</w:t>
      </w:r>
    </w:p>
    <w:p w:rsidR="001A723E" w:rsidRDefault="00AD2955">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sz w:val="24"/>
          <w:szCs w:val="24"/>
        </w:rPr>
        <w:t>e</w:t>
      </w:r>
      <w:r>
        <w:rPr>
          <w:rFonts w:ascii="Arial" w:eastAsia="Arial" w:hAnsi="Arial" w:cs="Arial"/>
          <w:color w:val="000000"/>
          <w:sz w:val="24"/>
          <w:szCs w:val="24"/>
        </w:rPr>
        <w:t>vidence that the Supplier has attempted to mitigate against the increase in the relevant cost components; and</w:t>
      </w:r>
    </w:p>
    <w:p w:rsidR="001A723E" w:rsidRDefault="00AD2955">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proofErr w:type="gramStart"/>
      <w:r>
        <w:rPr>
          <w:rFonts w:ascii="Arial" w:eastAsia="Arial" w:hAnsi="Arial" w:cs="Arial"/>
          <w:color w:val="000000"/>
          <w:sz w:val="24"/>
          <w:szCs w:val="24"/>
        </w:rPr>
        <w:t>evidence</w:t>
      </w:r>
      <w:proofErr w:type="gramEnd"/>
      <w:r>
        <w:rPr>
          <w:rFonts w:ascii="Arial" w:eastAsia="Arial" w:hAnsi="Arial" w:cs="Arial"/>
          <w:color w:val="000000"/>
          <w:sz w:val="24"/>
          <w:szCs w:val="24"/>
        </w:rPr>
        <w:t xml:space="preserve"> that the Supplier’s profit component of the relevant  Framework Price is no greater than that applying to Framework Prices using the same pricing mechanism as at the Contract Commencement Date</w:t>
      </w:r>
      <w:r>
        <w:rPr>
          <w:rFonts w:ascii="Arial" w:eastAsia="Arial" w:hAnsi="Arial" w:cs="Arial"/>
          <w:sz w:val="24"/>
          <w:szCs w:val="24"/>
        </w:rPr>
        <w:t>.</w:t>
      </w:r>
    </w:p>
    <w:p w:rsidR="001A723E" w:rsidRDefault="00AD295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CCS shall consider each request for a price increase.  CCS may grant Approval to an increase at its sole discretion.</w:t>
      </w:r>
    </w:p>
    <w:p w:rsidR="001A723E" w:rsidRDefault="00AD295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Where CCS approves an increase then it will be implemented from the first (1st) Working Day following the relevant Review Date or such later date as CCS may determine at its sole discretion and Annex 1 shall be updated accordingly.</w:t>
      </w:r>
    </w:p>
    <w:p w:rsidR="001A723E" w:rsidRDefault="00AD2955">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Framework Prices</w:t>
      </w:r>
    </w:p>
    <w:p w:rsidR="001A723E" w:rsidRDefault="00AD295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rsidR="001A723E" w:rsidRDefault="00AD295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rsidR="001A723E" w:rsidRDefault="00AD295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13; </w:t>
      </w:r>
    </w:p>
    <w:p w:rsidR="001A723E" w:rsidRDefault="00AD295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benchmarking review in accordance with Call Off Schedule 16 (Benchmarking)</w:t>
      </w:r>
    </w:p>
    <w:p w:rsidR="001A723E" w:rsidRDefault="00AD2955">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request from the Supplier, which it can make at any time, to decrease the Framework Prices; and</w:t>
      </w:r>
    </w:p>
    <w:p w:rsidR="001A723E" w:rsidRDefault="00AD2955">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Pr>
          <w:rFonts w:ascii="Arial" w:eastAsia="Arial" w:hAnsi="Arial" w:cs="Arial"/>
          <w:b/>
          <w:sz w:val="24"/>
          <w:szCs w:val="24"/>
        </w:rPr>
        <w:t>Other Costs</w:t>
      </w:r>
    </w:p>
    <w:p w:rsidR="001A723E" w:rsidRDefault="00AD295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Expenses shall only be recoverable where:</w:t>
      </w:r>
    </w:p>
    <w:p w:rsidR="001A723E" w:rsidRDefault="00AD2955">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Time and Materials pricing mechanism is used; and</w:t>
      </w:r>
    </w:p>
    <w:p w:rsidR="001A723E" w:rsidRDefault="00AD2955">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Order Form states that recovery is permitted; and</w:t>
      </w:r>
    </w:p>
    <w:p w:rsidR="001A723E" w:rsidRDefault="00AD2955">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lastRenderedPageBreak/>
        <w:t xml:space="preserve">they are </w:t>
      </w:r>
      <w:r>
        <w:rPr>
          <w:rFonts w:ascii="Arial" w:eastAsia="Arial" w:hAnsi="Arial" w:cs="Arial"/>
          <w:sz w:val="24"/>
          <w:szCs w:val="24"/>
        </w:rPr>
        <w:t>Reimbursable</w:t>
      </w:r>
      <w:r>
        <w:rPr>
          <w:rFonts w:ascii="Arial" w:eastAsia="Arial" w:hAnsi="Arial" w:cs="Arial"/>
          <w:color w:val="000000"/>
          <w:sz w:val="24"/>
          <w:szCs w:val="24"/>
        </w:rPr>
        <w:t xml:space="preserve"> Expenses and are supported by Supporting Documentation.</w:t>
      </w:r>
    </w:p>
    <w:p w:rsidR="001A723E" w:rsidRDefault="00AD2955">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5" w:name="_heading=h.3dy6vkm" w:colFirst="0" w:colLast="0"/>
      <w:bookmarkEnd w:id="5"/>
      <w:r>
        <w:rPr>
          <w:rFonts w:ascii="Arial" w:eastAsia="Arial" w:hAnsi="Arial" w:cs="Arial"/>
          <w:color w:val="000000"/>
          <w:sz w:val="24"/>
          <w:szCs w:val="24"/>
        </w:rPr>
        <w:t xml:space="preserve">The Buyer shall provide a copy of their current expenses policy to the Supplier upon request. </w:t>
      </w:r>
    </w:p>
    <w:p w:rsidR="001A723E" w:rsidRDefault="001A723E">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rsidR="001A723E" w:rsidRDefault="00AD2955">
      <w:pPr>
        <w:rPr>
          <w:rFonts w:ascii="Arial" w:eastAsia="Arial" w:hAnsi="Arial" w:cs="Arial"/>
          <w:b/>
          <w:sz w:val="36"/>
          <w:szCs w:val="36"/>
        </w:rPr>
      </w:pPr>
      <w:bookmarkStart w:id="6" w:name="_heading=h.1t3h5sf" w:colFirst="0" w:colLast="0"/>
      <w:bookmarkEnd w:id="6"/>
      <w:r>
        <w:br w:type="page"/>
      </w:r>
      <w:r>
        <w:rPr>
          <w:rFonts w:ascii="Arial" w:eastAsia="Arial" w:hAnsi="Arial" w:cs="Arial"/>
          <w:b/>
          <w:sz w:val="36"/>
          <w:szCs w:val="36"/>
        </w:rPr>
        <w:lastRenderedPageBreak/>
        <w:t>Annex 1: Rates and Prices</w:t>
      </w:r>
    </w:p>
    <w:p w:rsidR="001A723E" w:rsidRDefault="00AD2955">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1: Time and Materials</w:t>
      </w:r>
    </w:p>
    <w:p w:rsidR="001A723E" w:rsidRDefault="00AD2955">
      <w:pPr>
        <w:keepNext/>
        <w:pBdr>
          <w:top w:val="nil"/>
          <w:left w:val="nil"/>
          <w:bottom w:val="nil"/>
          <w:right w:val="nil"/>
          <w:between w:val="nil"/>
        </w:pBdr>
        <w:spacing w:before="240" w:after="240" w:line="240" w:lineRule="auto"/>
        <w:rPr>
          <w:rFonts w:ascii="Arial" w:eastAsia="Arial" w:hAnsi="Arial" w:cs="Arial"/>
          <w:color w:val="000000"/>
          <w:sz w:val="24"/>
          <w:szCs w:val="24"/>
        </w:rPr>
      </w:pPr>
      <w:r>
        <w:rPr>
          <w:rFonts w:ascii="Arial" w:eastAsia="Arial" w:hAnsi="Arial" w:cs="Arial"/>
          <w:color w:val="000000"/>
          <w:sz w:val="24"/>
          <w:szCs w:val="24"/>
        </w:rPr>
        <w:t>The Supplier (and its Sub-Contractor) shall not be entitled to include any uplift for risks or contingencies within its day rates</w:t>
      </w:r>
    </w:p>
    <w:p w:rsidR="001A723E" w:rsidRDefault="00AD2955">
      <w:pPr>
        <w:pBdr>
          <w:top w:val="nil"/>
          <w:left w:val="nil"/>
          <w:bottom w:val="nil"/>
          <w:right w:val="nil"/>
          <w:between w:val="nil"/>
        </w:pBdr>
        <w:spacing w:before="240" w:after="120" w:line="240" w:lineRule="auto"/>
        <w:rPr>
          <w:rFonts w:ascii="Arial" w:eastAsia="Arial" w:hAnsi="Arial" w:cs="Arial"/>
          <w:b/>
          <w:i/>
          <w:color w:val="000000"/>
          <w:sz w:val="24"/>
          <w:szCs w:val="24"/>
        </w:rPr>
      </w:pPr>
      <w:r>
        <w:rPr>
          <w:rFonts w:ascii="Arial" w:eastAsia="Arial" w:hAnsi="Arial" w:cs="Arial"/>
          <w:i/>
          <w:color w:val="000000"/>
          <w:sz w:val="24"/>
          <w:szCs w:val="24"/>
        </w:rPr>
        <w:t>The rates below shall [not] be subject to variation by way of Indexation</w:t>
      </w:r>
    </w:p>
    <w:tbl>
      <w:tblPr>
        <w:tblStyle w:val="a1"/>
        <w:tblW w:w="9016" w:type="dxa"/>
        <w:tblInd w:w="-11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450"/>
        <w:gridCol w:w="4566"/>
      </w:tblGrid>
      <w:tr w:rsidR="001A723E">
        <w:tc>
          <w:tcPr>
            <w:tcW w:w="4450" w:type="dxa"/>
            <w:shd w:val="clear" w:color="auto" w:fill="548DD4"/>
          </w:tcPr>
          <w:p w:rsidR="001A723E" w:rsidRDefault="00AD2955">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Staff Grade</w:t>
            </w:r>
          </w:p>
        </w:tc>
        <w:tc>
          <w:tcPr>
            <w:tcW w:w="4566" w:type="dxa"/>
            <w:shd w:val="clear" w:color="auto" w:fill="548DD4"/>
          </w:tcPr>
          <w:p w:rsidR="001A723E" w:rsidRDefault="00AD2955">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Day Rate (£)</w:t>
            </w:r>
          </w:p>
        </w:tc>
      </w:tr>
      <w:tr w:rsidR="001A723E">
        <w:tc>
          <w:tcPr>
            <w:tcW w:w="4450" w:type="dxa"/>
          </w:tcPr>
          <w:p w:rsidR="001A723E" w:rsidRDefault="001A723E">
            <w:pPr>
              <w:keepNext/>
              <w:pBdr>
                <w:top w:val="nil"/>
                <w:left w:val="nil"/>
                <w:bottom w:val="nil"/>
                <w:right w:val="nil"/>
                <w:between w:val="nil"/>
              </w:pBdr>
              <w:spacing w:before="240" w:after="120"/>
              <w:ind w:left="142"/>
              <w:rPr>
                <w:rFonts w:ascii="Arial" w:eastAsia="Arial" w:hAnsi="Arial" w:cs="Arial"/>
                <w:color w:val="000000"/>
                <w:sz w:val="24"/>
                <w:szCs w:val="24"/>
              </w:rPr>
            </w:pPr>
          </w:p>
        </w:tc>
        <w:tc>
          <w:tcPr>
            <w:tcW w:w="4566" w:type="dxa"/>
          </w:tcPr>
          <w:p w:rsidR="001A723E" w:rsidRDefault="001A723E">
            <w:pPr>
              <w:keepNext/>
              <w:pBdr>
                <w:top w:val="nil"/>
                <w:left w:val="nil"/>
                <w:bottom w:val="nil"/>
                <w:right w:val="nil"/>
                <w:between w:val="nil"/>
              </w:pBdr>
              <w:spacing w:before="240" w:after="120"/>
              <w:ind w:left="142"/>
              <w:rPr>
                <w:rFonts w:ascii="Arial" w:eastAsia="Arial" w:hAnsi="Arial" w:cs="Arial"/>
                <w:color w:val="000000"/>
                <w:sz w:val="24"/>
                <w:szCs w:val="24"/>
              </w:rPr>
            </w:pPr>
          </w:p>
        </w:tc>
      </w:tr>
      <w:tr w:rsidR="001A723E">
        <w:tc>
          <w:tcPr>
            <w:tcW w:w="4450" w:type="dxa"/>
          </w:tcPr>
          <w:p w:rsidR="001A723E" w:rsidRDefault="001A723E">
            <w:pPr>
              <w:keepNext/>
              <w:pBdr>
                <w:top w:val="nil"/>
                <w:left w:val="nil"/>
                <w:bottom w:val="nil"/>
                <w:right w:val="nil"/>
                <w:between w:val="nil"/>
              </w:pBdr>
              <w:spacing w:before="240" w:after="120"/>
              <w:ind w:left="142"/>
              <w:rPr>
                <w:rFonts w:ascii="Arial" w:eastAsia="Arial" w:hAnsi="Arial" w:cs="Arial"/>
                <w:color w:val="000000"/>
                <w:sz w:val="24"/>
                <w:szCs w:val="24"/>
              </w:rPr>
            </w:pPr>
          </w:p>
        </w:tc>
        <w:tc>
          <w:tcPr>
            <w:tcW w:w="4566" w:type="dxa"/>
          </w:tcPr>
          <w:p w:rsidR="001A723E" w:rsidRDefault="001A723E">
            <w:pPr>
              <w:keepNext/>
              <w:pBdr>
                <w:top w:val="nil"/>
                <w:left w:val="nil"/>
                <w:bottom w:val="nil"/>
                <w:right w:val="nil"/>
                <w:between w:val="nil"/>
              </w:pBdr>
              <w:spacing w:before="240" w:after="120"/>
              <w:ind w:left="142"/>
              <w:rPr>
                <w:rFonts w:ascii="Arial" w:eastAsia="Arial" w:hAnsi="Arial" w:cs="Arial"/>
                <w:color w:val="000000"/>
                <w:sz w:val="24"/>
                <w:szCs w:val="24"/>
              </w:rPr>
            </w:pPr>
          </w:p>
        </w:tc>
      </w:tr>
    </w:tbl>
    <w:p w:rsidR="001A723E" w:rsidRDefault="00AD2955">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2: Fixed Prices</w:t>
      </w:r>
    </w:p>
    <w:p w:rsidR="001A723E" w:rsidRDefault="00AD2955">
      <w:pPr>
        <w:pBdr>
          <w:top w:val="nil"/>
          <w:left w:val="nil"/>
          <w:bottom w:val="nil"/>
          <w:right w:val="nil"/>
          <w:between w:val="nil"/>
        </w:pBdr>
        <w:spacing w:before="240" w:after="120" w:line="240" w:lineRule="auto"/>
        <w:rPr>
          <w:rFonts w:ascii="Arial" w:eastAsia="Arial" w:hAnsi="Arial" w:cs="Arial"/>
          <w:b/>
          <w:i/>
          <w:color w:val="000000"/>
          <w:sz w:val="24"/>
          <w:szCs w:val="24"/>
        </w:rPr>
      </w:pPr>
      <w:r>
        <w:rPr>
          <w:rFonts w:ascii="Arial" w:eastAsia="Arial" w:hAnsi="Arial" w:cs="Arial"/>
          <w:color w:val="000000"/>
          <w:sz w:val="24"/>
          <w:szCs w:val="24"/>
        </w:rPr>
        <w:t>The rates below shall [not] be subject to variation by way of Indexation</w:t>
      </w:r>
    </w:p>
    <w:tbl>
      <w:tblPr>
        <w:tblStyle w:val="a2"/>
        <w:tblW w:w="9016" w:type="dxa"/>
        <w:tblInd w:w="-11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508"/>
        <w:gridCol w:w="4508"/>
      </w:tblGrid>
      <w:tr w:rsidR="001A723E">
        <w:tc>
          <w:tcPr>
            <w:tcW w:w="4508" w:type="dxa"/>
            <w:shd w:val="clear" w:color="auto" w:fill="548DD4"/>
          </w:tcPr>
          <w:p w:rsidR="001A723E" w:rsidRDefault="00AD2955">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Framework Price</w:t>
            </w:r>
          </w:p>
        </w:tc>
        <w:tc>
          <w:tcPr>
            <w:tcW w:w="4508" w:type="dxa"/>
            <w:shd w:val="clear" w:color="auto" w:fill="548DD4"/>
          </w:tcPr>
          <w:p w:rsidR="001A723E" w:rsidRDefault="00AD2955">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Fixed Framework Price (£)</w:t>
            </w:r>
          </w:p>
        </w:tc>
      </w:tr>
      <w:tr w:rsidR="001A723E">
        <w:tc>
          <w:tcPr>
            <w:tcW w:w="4508" w:type="dxa"/>
          </w:tcPr>
          <w:p w:rsidR="001A723E" w:rsidRDefault="00AD2955">
            <w:pPr>
              <w:keepNext/>
              <w:pBdr>
                <w:top w:val="nil"/>
                <w:left w:val="nil"/>
                <w:bottom w:val="nil"/>
                <w:right w:val="nil"/>
                <w:between w:val="nil"/>
              </w:pBdr>
              <w:spacing w:before="240" w:after="120"/>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[e.g. M3]</w:t>
            </w:r>
          </w:p>
        </w:tc>
        <w:tc>
          <w:tcPr>
            <w:tcW w:w="4508" w:type="dxa"/>
            <w:shd w:val="clear" w:color="auto" w:fill="FFFFFF"/>
          </w:tcPr>
          <w:p w:rsidR="001A723E" w:rsidRDefault="001A723E">
            <w:pPr>
              <w:keepNext/>
              <w:pBdr>
                <w:top w:val="nil"/>
                <w:left w:val="nil"/>
                <w:bottom w:val="nil"/>
                <w:right w:val="nil"/>
                <w:between w:val="nil"/>
              </w:pBdr>
              <w:spacing w:before="240" w:after="120"/>
              <w:ind w:left="142"/>
              <w:rPr>
                <w:rFonts w:ascii="Arial" w:eastAsia="Arial" w:hAnsi="Arial" w:cs="Arial"/>
                <w:color w:val="000000"/>
                <w:sz w:val="24"/>
                <w:szCs w:val="24"/>
              </w:rPr>
            </w:pPr>
          </w:p>
        </w:tc>
      </w:tr>
      <w:tr w:rsidR="001A723E">
        <w:tc>
          <w:tcPr>
            <w:tcW w:w="4508" w:type="dxa"/>
          </w:tcPr>
          <w:p w:rsidR="001A723E" w:rsidRDefault="00AD2955">
            <w:pPr>
              <w:keepNext/>
              <w:pBdr>
                <w:top w:val="nil"/>
                <w:left w:val="nil"/>
                <w:bottom w:val="nil"/>
                <w:right w:val="nil"/>
                <w:between w:val="nil"/>
              </w:pBdr>
              <w:spacing w:before="240" w:after="120"/>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[e.g. SC3]</w:t>
            </w:r>
          </w:p>
        </w:tc>
        <w:tc>
          <w:tcPr>
            <w:tcW w:w="4508" w:type="dxa"/>
            <w:shd w:val="clear" w:color="auto" w:fill="FFFFFF"/>
          </w:tcPr>
          <w:p w:rsidR="001A723E" w:rsidRDefault="001A723E">
            <w:pPr>
              <w:keepNext/>
              <w:pBdr>
                <w:top w:val="nil"/>
                <w:left w:val="nil"/>
                <w:bottom w:val="nil"/>
                <w:right w:val="nil"/>
                <w:between w:val="nil"/>
              </w:pBdr>
              <w:spacing w:before="240" w:after="120"/>
              <w:ind w:left="142"/>
              <w:rPr>
                <w:rFonts w:ascii="Arial" w:eastAsia="Arial" w:hAnsi="Arial" w:cs="Arial"/>
                <w:color w:val="000000"/>
                <w:sz w:val="24"/>
                <w:szCs w:val="24"/>
              </w:rPr>
            </w:pPr>
          </w:p>
        </w:tc>
      </w:tr>
    </w:tbl>
    <w:p w:rsidR="001A723E" w:rsidRDefault="001A723E">
      <w:pPr>
        <w:rPr>
          <w:rFonts w:ascii="Arial" w:eastAsia="Arial" w:hAnsi="Arial" w:cs="Arial"/>
          <w:b/>
          <w:smallCaps/>
          <w:sz w:val="24"/>
          <w:szCs w:val="24"/>
        </w:rPr>
      </w:pPr>
      <w:bookmarkStart w:id="7" w:name="_heading=h.4d34og8" w:colFirst="0" w:colLast="0"/>
      <w:bookmarkEnd w:id="7"/>
    </w:p>
    <w:p w:rsidR="00243AF5" w:rsidRPr="00243AF5" w:rsidRDefault="00243AF5" w:rsidP="00243AF5">
      <w:pPr>
        <w:rPr>
          <w:rFonts w:ascii="Arial" w:eastAsia="Arial" w:hAnsi="Arial" w:cs="Arial"/>
          <w:b/>
          <w:sz w:val="24"/>
          <w:szCs w:val="24"/>
        </w:rPr>
      </w:pPr>
      <w:r w:rsidRPr="00243AF5">
        <w:rPr>
          <w:rFonts w:ascii="Arial" w:hAnsi="Arial" w:cs="Arial"/>
          <w:b/>
          <w:bCs/>
          <w:color w:val="000000"/>
          <w:sz w:val="24"/>
          <w:szCs w:val="24"/>
        </w:rPr>
        <w:t>Redacted under FOIA section 43, Commercial Interests</w:t>
      </w:r>
    </w:p>
    <w:p w:rsidR="001A723E" w:rsidRDefault="001A723E">
      <w:pPr>
        <w:rPr>
          <w:rFonts w:ascii="Arial" w:eastAsia="Arial" w:hAnsi="Arial" w:cs="Arial"/>
          <w:b/>
          <w:sz w:val="24"/>
          <w:szCs w:val="24"/>
        </w:rPr>
      </w:pPr>
      <w:bookmarkStart w:id="8" w:name="_GoBack"/>
      <w:bookmarkEnd w:id="8"/>
    </w:p>
    <w:sectPr w:rsidR="001A723E">
      <w:headerReference w:type="default" r:id="rId8"/>
      <w:footerReference w:type="default" r:id="rId9"/>
      <w:headerReference w:type="first" r:id="rId10"/>
      <w:footerReference w:type="first" r:id="rId11"/>
      <w:pgSz w:w="11906" w:h="16838"/>
      <w:pgMar w:top="1888"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13C4" w:rsidRDefault="00D813C4">
      <w:pPr>
        <w:spacing w:after="0" w:line="240" w:lineRule="auto"/>
      </w:pPr>
      <w:r>
        <w:separator/>
      </w:r>
    </w:p>
  </w:endnote>
  <w:endnote w:type="continuationSeparator" w:id="0">
    <w:p w:rsidR="00D813C4" w:rsidRDefault="00D81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23E" w:rsidRDefault="00AD295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RM6336</w:t>
    </w:r>
    <w:r>
      <w:rPr>
        <w:rFonts w:ascii="Arial" w:eastAsia="Arial" w:hAnsi="Arial" w:cs="Arial"/>
        <w:sz w:val="20"/>
        <w:szCs w:val="20"/>
      </w:rPr>
      <w:tab/>
      <w:t xml:space="preserve">                                           </w:t>
    </w:r>
  </w:p>
  <w:p w:rsidR="001A723E" w:rsidRDefault="00AD295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43AF5">
      <w:rPr>
        <w:rFonts w:ascii="Arial" w:eastAsia="Arial" w:hAnsi="Arial" w:cs="Arial"/>
        <w:noProof/>
        <w:color w:val="000000"/>
        <w:sz w:val="20"/>
        <w:szCs w:val="20"/>
      </w:rPr>
      <w:t>4</w:t>
    </w:r>
    <w:r>
      <w:rPr>
        <w:rFonts w:ascii="Arial" w:eastAsia="Arial" w:hAnsi="Arial" w:cs="Arial"/>
        <w:color w:val="000000"/>
        <w:sz w:val="20"/>
        <w:szCs w:val="20"/>
      </w:rPr>
      <w:fldChar w:fldCharType="end"/>
    </w:r>
  </w:p>
  <w:p w:rsidR="001A723E" w:rsidRDefault="00AD2955">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23E" w:rsidRDefault="00AD2955">
    <w:pPr>
      <w:tabs>
        <w:tab w:val="center" w:pos="4513"/>
        <w:tab w:val="right" w:pos="9026"/>
      </w:tabs>
      <w:spacing w:after="0"/>
    </w:pPr>
    <w:r>
      <w:t>Framework Ref: RM</w:t>
    </w:r>
    <w:r>
      <w:tab/>
      <w:t xml:space="preserve">                                           </w:t>
    </w:r>
  </w:p>
  <w:p w:rsidR="001A723E" w:rsidRDefault="00AD295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1A723E" w:rsidRDefault="00AD2955">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13C4" w:rsidRDefault="00D813C4">
      <w:pPr>
        <w:spacing w:after="0" w:line="240" w:lineRule="auto"/>
      </w:pPr>
      <w:r>
        <w:separator/>
      </w:r>
    </w:p>
  </w:footnote>
  <w:footnote w:type="continuationSeparator" w:id="0">
    <w:p w:rsidR="00D813C4" w:rsidRDefault="00D813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23E" w:rsidRDefault="00AD295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1A723E" w:rsidRDefault="00AD295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23E" w:rsidRDefault="00AD295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1A723E" w:rsidRDefault="00AD2955">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710583"/>
    <w:multiLevelType w:val="multilevel"/>
    <w:tmpl w:val="42344B9A"/>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FDF6B25"/>
    <w:multiLevelType w:val="multilevel"/>
    <w:tmpl w:val="6E901D42"/>
    <w:lvl w:ilvl="0">
      <w:start w:val="1"/>
      <w:numFmt w:val="decimal"/>
      <w:pStyle w:val="GPSL1CLAUSEHEADING"/>
      <w:lvlText w:val="%1."/>
      <w:lvlJc w:val="left"/>
      <w:pPr>
        <w:ind w:left="360" w:hanging="360"/>
      </w:pPr>
      <w:rPr>
        <w:rFonts w:ascii="Arial" w:eastAsia="Arial" w:hAnsi="Arial" w:cs="Arial"/>
        <w:b/>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23E"/>
    <w:rsid w:val="001A723E"/>
    <w:rsid w:val="00243AF5"/>
    <w:rsid w:val="004A0162"/>
    <w:rsid w:val="00AD2955"/>
    <w:rsid w:val="00D813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E1B47"/>
  <w15:docId w15:val="{0AAD2031-7A0A-410C-8E6D-39E67BB13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tblPr>
      <w:tblStyleRowBandSize w:val="1"/>
      <w:tblStyleColBandSize w:val="1"/>
      <w:tblCellMar>
        <w:left w:w="115" w:type="dxa"/>
        <w:right w:w="115" w:type="dxa"/>
      </w:tblCellMar>
    </w:tblPr>
  </w:style>
  <w:style w:type="table" w:customStyle="1" w:styleId="a2">
    <w:basedOn w:val="TableNormal"/>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goJTuXf1+dZs6CxnwO+xzKBAW2g==">AMUW2mWE8wrukUUX3Q0CdsvtcQLjv9QlR4p0Q8JQIgYmQmS8nOBa1q9DsOndSza1GuVBOXlSnwoxvS4hKti7ItY+ryH2cW1poU+VBqD8iPyEiYaLOFn1vJvpp1u5Ey5a8wrVkLhDb4tpWPRRoNQc8WUCpSXDy1piGp591pJdT+MHixGIkQyZ0iRpkB6kk3I+0Az0leJvdKAvWaV1ziRiT3t9gUKyJJfzW2lb57ytcLUKFNk4j8otBB4=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720</Words>
  <Characters>4109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Pollentine</dc:creator>
  <cp:lastModifiedBy>leah morrow</cp:lastModifiedBy>
  <cp:revision>3</cp:revision>
  <dcterms:created xsi:type="dcterms:W3CDTF">2023-03-16T10:42:00Z</dcterms:created>
  <dcterms:modified xsi:type="dcterms:W3CDTF">2023-03-24T16:34:00Z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